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12CC7FA1" w:rsidR="00845232" w:rsidRDefault="00845232" w:rsidP="00C37595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   D R E Z D E N K A</w:t>
      </w:r>
    </w:p>
    <w:p w14:paraId="75289E4E" w14:textId="5213E6F7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ogłasza pierwszy przetarg ustny </w:t>
      </w:r>
      <w:r w:rsidR="00591EA7">
        <w:rPr>
          <w:rFonts w:ascii="Tahoma" w:hAnsi="Tahoma" w:cs="Tahoma"/>
          <w:b/>
          <w:bCs/>
          <w:color w:val="000000"/>
          <w:sz w:val="22"/>
          <w:szCs w:val="20"/>
        </w:rPr>
        <w:t>nie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ograniczony</w:t>
      </w:r>
      <w:r w:rsidR="00A25AE6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na sprzedaż prawa własności</w:t>
      </w:r>
      <w:r w:rsidR="00B550CE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niżej wymienion</w:t>
      </w:r>
      <w:r w:rsidR="00C37595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 w:rsidR="00AC3625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nieruchomości stanowiąc</w:t>
      </w:r>
      <w:r w:rsidR="00C37595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6010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0"/>
        <w:gridCol w:w="1440"/>
        <w:gridCol w:w="1842"/>
        <w:gridCol w:w="864"/>
        <w:gridCol w:w="1000"/>
        <w:gridCol w:w="1285"/>
        <w:gridCol w:w="2659"/>
        <w:gridCol w:w="2267"/>
        <w:gridCol w:w="1418"/>
        <w:gridCol w:w="1276"/>
        <w:gridCol w:w="1257"/>
      </w:tblGrid>
      <w:tr w:rsidR="00C37595" w:rsidRPr="00963346" w14:paraId="19FD832D" w14:textId="77777777" w:rsidTr="00FC7E80">
        <w:trPr>
          <w:cantSplit/>
          <w:trHeight w:val="1310"/>
        </w:trPr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66679" w14:textId="77777777" w:rsidR="00C37595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78AD3BA" w14:textId="4BD22446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Położenie nieruchomości</w:t>
            </w:r>
          </w:p>
          <w:p w14:paraId="53E96DBF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</w:t>
            </w:r>
          </w:p>
          <w:p w14:paraId="2C8B64DB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księgi wieczystej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 obrębu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Numer</w:t>
            </w:r>
          </w:p>
          <w:p w14:paraId="76AFD7A1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działki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6784D" w14:textId="77777777" w:rsidR="00C37595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2F03DDD" w14:textId="49CA52C7" w:rsidR="00C37595" w:rsidRPr="00C91A29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Pow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ierzchnia</w:t>
            </w:r>
          </w:p>
          <w:p w14:paraId="4C8E16AD" w14:textId="4B1B080D" w:rsidR="00C37595" w:rsidRPr="00C91A29" w:rsidRDefault="00C37595" w:rsidP="000E497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11EA70DD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Przeznaczenie nieruchomości</w:t>
            </w: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DC0E5" w14:textId="6E3170D6" w:rsidR="00C37595" w:rsidRPr="00C91A29" w:rsidRDefault="00C37595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60DFDDD3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Cena wywoławcza</w:t>
            </w:r>
          </w:p>
          <w:p w14:paraId="487CC828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nieruchomości</w:t>
            </w:r>
          </w:p>
          <w:p w14:paraId="76178803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netto* [zł]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Wadium</w:t>
            </w:r>
          </w:p>
          <w:p w14:paraId="79FDAB4F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[zł]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Postąpienie</w:t>
            </w:r>
          </w:p>
          <w:p w14:paraId="45A304D7" w14:textId="77777777" w:rsidR="00C37595" w:rsidRPr="00C91A29" w:rsidRDefault="00C37595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[zł]</w:t>
            </w:r>
          </w:p>
        </w:tc>
      </w:tr>
      <w:tr w:rsidR="00C37595" w:rsidRPr="00963346" w14:paraId="2FD5EA6B" w14:textId="77777777" w:rsidTr="00FC7E80">
        <w:trPr>
          <w:cantSplit/>
          <w:trHeight w:val="3381"/>
        </w:trPr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C37595" w:rsidRPr="00C91A29" w:rsidRDefault="00C37595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91A29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12B22CB4" w:rsidR="00C37595" w:rsidRPr="00C91A29" w:rsidRDefault="00504BDD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Drezdenko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8811" w14:textId="77777777" w:rsidR="00F96C99" w:rsidRDefault="00F96C99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40EED1F" w14:textId="3A82EE29" w:rsidR="000256BB" w:rsidRDefault="00F96C99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="000E4972">
              <w:rPr>
                <w:rFonts w:ascii="Tahoma" w:hAnsi="Tahoma" w:cs="Tahoma"/>
                <w:color w:val="000000"/>
                <w:sz w:val="18"/>
                <w:szCs w:val="18"/>
              </w:rPr>
              <w:t>000</w:t>
            </w:r>
            <w:r w:rsidR="00504BDD">
              <w:rPr>
                <w:rFonts w:ascii="Tahoma" w:hAnsi="Tahoma" w:cs="Tahoma"/>
                <w:color w:val="000000"/>
                <w:sz w:val="18"/>
                <w:szCs w:val="18"/>
              </w:rPr>
              <w:t>28960/7</w:t>
            </w:r>
          </w:p>
          <w:p w14:paraId="3045DC31" w14:textId="72A01998" w:rsidR="000256BB" w:rsidRPr="00C91A29" w:rsidRDefault="000256BB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4BF780F2" w:rsidR="00C37595" w:rsidRPr="00C91A29" w:rsidRDefault="00C37595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33BFE224" w:rsidR="00C37595" w:rsidRPr="00C91A29" w:rsidRDefault="00504BDD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696/25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570D064A" w:rsidR="00700570" w:rsidRPr="00C91A29" w:rsidRDefault="00504BDD" w:rsidP="000E497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0,0021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DD87" w14:textId="7DED1196" w:rsidR="00C37595" w:rsidRPr="000E4972" w:rsidRDefault="00504BDD" w:rsidP="000E49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2FAD" w14:textId="74292AD3" w:rsidR="00C37595" w:rsidRPr="00504BDD" w:rsidRDefault="00504BDD" w:rsidP="00C375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Działka zabudowana budynkiem garażowym </w:t>
            </w:r>
            <w:r w:rsidR="000B1700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o pow. </w:t>
            </w:r>
            <w:r w:rsidR="004A4FAB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2</w:t>
            </w:r>
            <w:r w:rsidR="000B1700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0B1700">
              <w:rPr>
                <w:rFonts w:ascii="Tahoma" w:hAnsi="Tahoma" w:cs="Tahoma"/>
                <w:color w:val="000000"/>
                <w:sz w:val="18"/>
                <w:szCs w:val="18"/>
              </w:rPr>
              <w:t>(budynek wymaga remontu)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3DDD67C9" w:rsidR="00C37595" w:rsidRPr="00C91A29" w:rsidRDefault="00504BDD" w:rsidP="00A4729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="002A165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111989">
              <w:rPr>
                <w:rFonts w:ascii="Tahoma" w:hAnsi="Tahoma" w:cs="Tahoma"/>
                <w:color w:val="000000"/>
                <w:sz w:val="18"/>
                <w:szCs w:val="18"/>
              </w:rPr>
              <w:t>000</w:t>
            </w:r>
            <w:r w:rsidR="002A1654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581D3172" w:rsidR="00C37595" w:rsidRPr="00C91A29" w:rsidRDefault="00504BDD" w:rsidP="000754E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2.200</w:t>
            </w:r>
            <w:r w:rsidR="0011198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1C2BA50A" w:rsidR="00C37595" w:rsidRPr="00C91A29" w:rsidRDefault="00504BDD" w:rsidP="00A472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="00111989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</w:tbl>
    <w:p w14:paraId="32C9D9F5" w14:textId="4A07147F" w:rsidR="00504BDD" w:rsidRPr="00103CA9" w:rsidRDefault="002A1654" w:rsidP="00504BDD">
      <w:pPr>
        <w:spacing w:after="160" w:line="259" w:lineRule="auto"/>
        <w:ind w:left="-709" w:right="-1558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  <w:r w:rsidRPr="002A1654">
        <w:rPr>
          <w:rFonts w:ascii="Tahoma" w:hAnsi="Tahoma" w:cs="Tahoma"/>
          <w:b/>
          <w:i/>
          <w:color w:val="003333"/>
          <w:sz w:val="18"/>
          <w:szCs w:val="18"/>
        </w:rPr>
        <w:t xml:space="preserve">* </w:t>
      </w:r>
      <w:r w:rsidR="00504BDD" w:rsidRPr="00103CA9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Cena nieruchomości osiągnięta w przetargu jest zwolniona z podatku od towarów i usług zgodnie </w:t>
      </w:r>
      <w:r w:rsidR="004A4FAB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z przepisami</w:t>
      </w:r>
      <w:r w:rsidR="00504BDD" w:rsidRPr="00103CA9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ustawy z dnia 11 marca 2004 roku o podatku od towarów i usług </w:t>
      </w:r>
      <w:r w:rsidR="00504BDD" w:rsidRPr="00591EA7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(Dz. U. z 2025 r., poz. 775</w:t>
      </w:r>
      <w:r w:rsidR="00591EA7" w:rsidRPr="00591EA7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ze zm.</w:t>
      </w:r>
      <w:r w:rsidR="00504BDD" w:rsidRPr="00591EA7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)</w:t>
      </w:r>
    </w:p>
    <w:p w14:paraId="07127D3B" w14:textId="04BB4F25" w:rsidR="00862BEB" w:rsidRPr="002A1654" w:rsidRDefault="00862BEB" w:rsidP="002A1654">
      <w:pPr>
        <w:spacing w:after="160" w:line="259" w:lineRule="auto"/>
        <w:ind w:left="-709" w:right="-1558"/>
        <w:rPr>
          <w:rFonts w:ascii="Tahoma" w:eastAsiaTheme="minorHAnsi" w:hAnsi="Tahoma" w:cs="Tahoma"/>
          <w:i/>
          <w:iCs/>
          <w:sz w:val="18"/>
          <w:szCs w:val="18"/>
          <w:lang w:eastAsia="en-US"/>
        </w:rPr>
      </w:pPr>
    </w:p>
    <w:p w14:paraId="02AE2AB2" w14:textId="1BB6D947" w:rsidR="00845232" w:rsidRPr="00963346" w:rsidRDefault="00845232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 w:rsidRPr="00963346">
        <w:rPr>
          <w:sz w:val="22"/>
          <w:szCs w:val="22"/>
        </w:rPr>
        <w:t>Przetarg zostanie przeprowadzony</w:t>
      </w:r>
      <w:r w:rsidRPr="00963346">
        <w:rPr>
          <w:sz w:val="22"/>
          <w:szCs w:val="22"/>
        </w:rPr>
        <w:br/>
      </w:r>
      <w:r w:rsidR="000B1700">
        <w:rPr>
          <w:sz w:val="22"/>
          <w:szCs w:val="22"/>
        </w:rPr>
        <w:t>12 marca</w:t>
      </w:r>
      <w:r w:rsidRPr="00963346">
        <w:rPr>
          <w:sz w:val="22"/>
          <w:szCs w:val="22"/>
        </w:rPr>
        <w:t xml:space="preserve"> 202</w:t>
      </w:r>
      <w:r w:rsidR="004A4FAB">
        <w:rPr>
          <w:sz w:val="22"/>
          <w:szCs w:val="22"/>
        </w:rPr>
        <w:t>6</w:t>
      </w:r>
      <w:r w:rsidRPr="00963346">
        <w:rPr>
          <w:sz w:val="22"/>
          <w:szCs w:val="22"/>
        </w:rPr>
        <w:t xml:space="preserve"> r. o godz. </w:t>
      </w:r>
      <w:r w:rsidR="00A47290">
        <w:rPr>
          <w:sz w:val="22"/>
          <w:szCs w:val="22"/>
        </w:rPr>
        <w:t>9</w:t>
      </w:r>
      <w:r w:rsidRPr="00963346">
        <w:rPr>
          <w:sz w:val="22"/>
          <w:szCs w:val="22"/>
          <w:vertAlign w:val="superscript"/>
        </w:rPr>
        <w:t>00</w:t>
      </w:r>
      <w:r w:rsidRPr="00963346">
        <w:rPr>
          <w:sz w:val="22"/>
          <w:szCs w:val="22"/>
        </w:rPr>
        <w:br/>
        <w:t>w siedzibie Urzędu Miejskiego w Drezdenku, ul. Warszawska 1, sala sesyjna (I piętro)</w:t>
      </w:r>
    </w:p>
    <w:p w14:paraId="6EA8958D" w14:textId="77777777" w:rsidR="00845232" w:rsidRPr="005775AA" w:rsidRDefault="00845232" w:rsidP="00845232">
      <w:pPr>
        <w:rPr>
          <w:rFonts w:ascii="Tahoma" w:hAnsi="Tahoma" w:cs="Tahoma"/>
          <w:color w:val="000000"/>
          <w:sz w:val="20"/>
          <w:szCs w:val="20"/>
        </w:rPr>
      </w:pPr>
    </w:p>
    <w:p w14:paraId="0D721A3F" w14:textId="26101BDF" w:rsidR="00105B6D" w:rsidRDefault="00105B6D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związku z tym, że nieruchomość nie ma bezpośredniego dostępu do drogi publicznej, a dojście i dojazd jest jedynie możliwy przez nieruchomość oznaczoną numerem ewidencyjnym działki 696/3</w:t>
      </w:r>
      <w:r w:rsidR="00A223B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stanowiącą własność Gminy Drezdenko ustanowiona zos</w:t>
      </w:r>
      <w:r w:rsidR="000B1700">
        <w:rPr>
          <w:rFonts w:ascii="Tahoma" w:hAnsi="Tahoma" w:cs="Tahoma"/>
          <w:sz w:val="20"/>
          <w:szCs w:val="20"/>
        </w:rPr>
        <w:t>tanie</w:t>
      </w:r>
      <w:r>
        <w:rPr>
          <w:rFonts w:ascii="Tahoma" w:hAnsi="Tahoma" w:cs="Tahoma"/>
          <w:sz w:val="20"/>
          <w:szCs w:val="20"/>
        </w:rPr>
        <w:t xml:space="preserve"> służebność</w:t>
      </w:r>
      <w:r w:rsidR="000B1700">
        <w:rPr>
          <w:rFonts w:ascii="Tahoma" w:hAnsi="Tahoma" w:cs="Tahoma"/>
          <w:sz w:val="20"/>
          <w:szCs w:val="20"/>
        </w:rPr>
        <w:t xml:space="preserve"> gruntowa</w:t>
      </w:r>
      <w:r>
        <w:rPr>
          <w:rFonts w:ascii="Tahoma" w:hAnsi="Tahoma" w:cs="Tahoma"/>
          <w:sz w:val="20"/>
          <w:szCs w:val="20"/>
        </w:rPr>
        <w:t xml:space="preserve"> polegająca na prawie przejazdu </w:t>
      </w:r>
      <w:r w:rsidR="000B170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i przechodu na rzecz każdoczesnego właściciela nieruchomości oznaczonej numerem ewidencyjnym działki 696/25, obręb Drezdenko. Do ceny wylicytowanej </w:t>
      </w:r>
      <w:r w:rsidR="000B170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w przetargu doliczona zostanie kwota w wysokości </w:t>
      </w:r>
      <w:r w:rsidR="00A223BD">
        <w:rPr>
          <w:rFonts w:ascii="Tahoma" w:hAnsi="Tahoma" w:cs="Tahoma"/>
          <w:b/>
          <w:bCs/>
          <w:sz w:val="20"/>
          <w:szCs w:val="20"/>
        </w:rPr>
        <w:t>3.086,07</w:t>
      </w:r>
      <w:r w:rsidRPr="00105B6D">
        <w:rPr>
          <w:rFonts w:ascii="Tahoma" w:hAnsi="Tahoma" w:cs="Tahoma"/>
          <w:b/>
          <w:bCs/>
          <w:sz w:val="20"/>
          <w:szCs w:val="20"/>
        </w:rPr>
        <w:t xml:space="preserve"> zł brutto</w:t>
      </w:r>
      <w:r>
        <w:rPr>
          <w:rFonts w:ascii="Tahoma" w:hAnsi="Tahoma" w:cs="Tahoma"/>
          <w:sz w:val="20"/>
          <w:szCs w:val="20"/>
        </w:rPr>
        <w:t xml:space="preserve"> (służebność drogowa)</w:t>
      </w:r>
      <w:r w:rsidR="000B1700">
        <w:rPr>
          <w:rFonts w:ascii="Tahoma" w:hAnsi="Tahoma" w:cs="Tahoma"/>
          <w:sz w:val="20"/>
          <w:szCs w:val="20"/>
        </w:rPr>
        <w:t>, którą nabywca zobowiązany jest zapłacić.</w:t>
      </w:r>
    </w:p>
    <w:p w14:paraId="4E4D56E8" w14:textId="77777777" w:rsid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16EBBE56" w14:textId="77777777" w:rsidR="00841ABB" w:rsidRPr="00591EA7" w:rsidRDefault="00841ABB" w:rsidP="00841ABB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 xml:space="preserve">tekst </w:t>
      </w:r>
      <w:r w:rsidRPr="00591EA7">
        <w:rPr>
          <w:rFonts w:ascii="Tahoma" w:hAnsi="Tahoma" w:cs="Tahoma"/>
          <w:sz w:val="20"/>
          <w:szCs w:val="20"/>
        </w:rPr>
        <w:t>jednolity Dz. U. z 2017 r. poz. 2278).</w:t>
      </w:r>
    </w:p>
    <w:p w14:paraId="4CE561F4" w14:textId="77777777" w:rsidR="00841ABB" w:rsidRPr="00841ABB" w:rsidRDefault="00841ABB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52CC234F" w14:textId="77777777" w:rsidR="00B550CE" w:rsidRPr="005775AA" w:rsidRDefault="00B550CE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6B313C67" w14:textId="77777777" w:rsidR="00845232" w:rsidRDefault="00845232" w:rsidP="00845232">
      <w:pPr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b/>
          <w:bCs/>
          <w:sz w:val="20"/>
          <w:szCs w:val="20"/>
        </w:rPr>
        <w:t>Uczestnicy przetargu zobowiązani są przed otwarciem przetargu do przedłożenia komisji przetargowej</w:t>
      </w:r>
      <w:r w:rsidRPr="005775AA">
        <w:rPr>
          <w:rFonts w:ascii="Tahoma" w:hAnsi="Tahoma" w:cs="Tahoma"/>
          <w:sz w:val="20"/>
          <w:szCs w:val="20"/>
        </w:rPr>
        <w:t>:</w:t>
      </w:r>
    </w:p>
    <w:p w14:paraId="5139F451" w14:textId="77777777" w:rsidR="00A47290" w:rsidRDefault="00A47290" w:rsidP="00A4729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dowodu wniesienia wadium, </w:t>
      </w:r>
    </w:p>
    <w:p w14:paraId="375E9F2B" w14:textId="77777777" w:rsidR="00A47290" w:rsidRPr="005775AA" w:rsidRDefault="00A47290" w:rsidP="00A47290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440D02FF" w14:textId="37B3246B" w:rsidR="00A47290" w:rsidRDefault="00A47290" w:rsidP="00A47290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 w:rsidRPr="005775AA">
        <w:rPr>
          <w:rFonts w:ascii="Tahoma" w:hAnsi="Tahoma" w:cs="Tahoma"/>
          <w:bCs/>
          <w:iCs/>
          <w:sz w:val="20"/>
          <w:szCs w:val="20"/>
        </w:rPr>
        <w:t>w przypadku osób fizycznych – osobiste stawiennictwo w dniu przetargu</w:t>
      </w:r>
      <w:r>
        <w:rPr>
          <w:rFonts w:ascii="Tahoma" w:hAnsi="Tahoma" w:cs="Tahoma"/>
          <w:bCs/>
          <w:iCs/>
          <w:sz w:val="20"/>
          <w:szCs w:val="20"/>
        </w:rPr>
        <w:t xml:space="preserve"> lub reprezentowanie przez pełnomocnika na podstawie pełnomocnictwa.</w:t>
      </w:r>
    </w:p>
    <w:p w14:paraId="4238CA53" w14:textId="16C99D2A" w:rsidR="00A47290" w:rsidRPr="00000AD0" w:rsidRDefault="00A47290" w:rsidP="00A47290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</w:t>
      </w:r>
      <w:r w:rsidRPr="00000AD0">
        <w:rPr>
          <w:rFonts w:ascii="Tahoma" w:hAnsi="Tahoma" w:cs="Tahoma"/>
          <w:color w:val="000000"/>
          <w:sz w:val="20"/>
          <w:szCs w:val="20"/>
        </w:rPr>
        <w:t xml:space="preserve">ałżonkowie biorą udział w przetargu osobiście. W przypadku brania udziału w licytacji przez jednego z małżonków posiadających ustrój wspólności majątkowej małżeńskiej wymagana jest zgoda drugiego współmałżonka dotycząca wyrażenia zgody na udział w przetargu na kupno określonej nieruchomości. </w:t>
      </w:r>
    </w:p>
    <w:p w14:paraId="17B6BC41" w14:textId="239F4178" w:rsidR="00A47290" w:rsidRPr="0025005B" w:rsidRDefault="00A47290" w:rsidP="00A47290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</w:t>
      </w:r>
      <w:r w:rsidR="00841ABB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potwierdzony notarialnie. </w:t>
      </w:r>
    </w:p>
    <w:p w14:paraId="5860C4E1" w14:textId="2F9F6925" w:rsidR="00A47290" w:rsidRPr="005775AA" w:rsidRDefault="00A47290" w:rsidP="00A47290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w przypadku osób prawnych oraz innych jednostek organizacyjnych nie posiadających osobowości prawnej, a podlegających wpisom do rejestrów - aktualnego </w:t>
      </w:r>
      <w:r>
        <w:rPr>
          <w:rFonts w:ascii="Tahoma" w:hAnsi="Tahoma" w:cs="Tahoma"/>
          <w:sz w:val="20"/>
          <w:szCs w:val="20"/>
        </w:rPr>
        <w:t>odpis z KRS – oryginału, a w przypadku osób ich reprezentujących – pełnomocnictwo do udziału</w:t>
      </w:r>
      <w:r w:rsidR="00F22E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przetargu.</w:t>
      </w:r>
    </w:p>
    <w:p w14:paraId="14D40481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</w:p>
    <w:p w14:paraId="24BD8E8C" w14:textId="055CEABB" w:rsidR="00845232" w:rsidRPr="005775AA" w:rsidRDefault="00845232" w:rsidP="00F7612F">
      <w:pPr>
        <w:spacing w:line="276" w:lineRule="auto"/>
        <w:ind w:right="-1133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Zgodnie z art. 6 ust. 1 pkt 4 ustawy o opłacie </w:t>
      </w:r>
      <w:r w:rsidRPr="00591EA7">
        <w:rPr>
          <w:rFonts w:ascii="Tahoma" w:hAnsi="Tahoma" w:cs="Tahoma"/>
          <w:sz w:val="20"/>
          <w:szCs w:val="20"/>
        </w:rPr>
        <w:t>skarbowej (Dz. U. z 202</w:t>
      </w:r>
      <w:r w:rsidR="00591EA7" w:rsidRPr="00591EA7">
        <w:rPr>
          <w:rFonts w:ascii="Tahoma" w:hAnsi="Tahoma" w:cs="Tahoma"/>
          <w:sz w:val="20"/>
          <w:szCs w:val="20"/>
        </w:rPr>
        <w:t>5,</w:t>
      </w:r>
      <w:r w:rsidRPr="00591EA7">
        <w:rPr>
          <w:rFonts w:ascii="Tahoma" w:hAnsi="Tahoma" w:cs="Tahoma"/>
          <w:sz w:val="20"/>
          <w:szCs w:val="20"/>
        </w:rPr>
        <w:t xml:space="preserve"> r. poz. </w:t>
      </w:r>
      <w:r w:rsidR="00591EA7" w:rsidRPr="00591EA7">
        <w:rPr>
          <w:rFonts w:ascii="Tahoma" w:hAnsi="Tahoma" w:cs="Tahoma"/>
          <w:sz w:val="20"/>
          <w:szCs w:val="20"/>
        </w:rPr>
        <w:t>1154</w:t>
      </w:r>
      <w:r w:rsidRPr="00591EA7">
        <w:rPr>
          <w:rFonts w:ascii="Tahoma" w:hAnsi="Tahoma" w:cs="Tahoma"/>
          <w:sz w:val="20"/>
          <w:szCs w:val="20"/>
        </w:rPr>
        <w:t xml:space="preserve"> ze zm.) </w:t>
      </w:r>
      <w:r w:rsidRPr="005775AA">
        <w:rPr>
          <w:rFonts w:ascii="Tahoma" w:hAnsi="Tahoma" w:cs="Tahoma"/>
          <w:sz w:val="20"/>
          <w:szCs w:val="20"/>
        </w:rPr>
        <w:t>- w przypadku przedłożenia pełnomocnictwa, o którym mowa wyżej, należy uiścić opłatę skarbową</w:t>
      </w:r>
      <w:r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>w wysokości 17.00 zł (część IV załącznika do tej ustawy). Powyższej opłaty nie uiszcza się w przypadku</w:t>
      </w:r>
      <w:r w:rsidR="00841ABB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 xml:space="preserve"> gdy pełnomocnictwo udzielane jest: małżonkowi, wstępnemu, zstępnemu lub rodzeństwu. </w:t>
      </w: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BBBB60E" w14:textId="782D1F14" w:rsidR="00111989" w:rsidRPr="005775AA" w:rsidRDefault="00845232" w:rsidP="00841ABB">
      <w:pPr>
        <w:tabs>
          <w:tab w:val="left" w:pos="13183"/>
        </w:tabs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 xml:space="preserve">Wadium należy wnieść najpóźniej do dnia </w:t>
      </w:r>
      <w:r w:rsidR="000B1700">
        <w:rPr>
          <w:rFonts w:ascii="Tahoma" w:hAnsi="Tahoma" w:cs="Tahoma"/>
          <w:b/>
          <w:sz w:val="20"/>
          <w:szCs w:val="20"/>
        </w:rPr>
        <w:t xml:space="preserve">6 marca </w:t>
      </w:r>
      <w:r w:rsidRPr="005775AA">
        <w:rPr>
          <w:rFonts w:ascii="Tahoma" w:hAnsi="Tahoma" w:cs="Tahoma"/>
          <w:b/>
          <w:sz w:val="20"/>
          <w:szCs w:val="20"/>
        </w:rPr>
        <w:t>202</w:t>
      </w:r>
      <w:r w:rsidR="00591EA7">
        <w:rPr>
          <w:rFonts w:ascii="Tahoma" w:hAnsi="Tahoma" w:cs="Tahoma"/>
          <w:b/>
          <w:sz w:val="20"/>
          <w:szCs w:val="20"/>
        </w:rPr>
        <w:t>6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5B4B77D0" w14:textId="38B82FFA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2ECDA69F" w14:textId="77777777" w:rsidR="007D7AD2" w:rsidRDefault="007D7AD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45052DB5" w14:textId="77777777" w:rsidR="007D7AD2" w:rsidRDefault="007D7AD2" w:rsidP="007D7AD2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775AA">
        <w:rPr>
          <w:rFonts w:ascii="Tahoma" w:hAnsi="Tahoma" w:cs="Tahoma"/>
          <w:color w:val="000000"/>
          <w:sz w:val="20"/>
          <w:szCs w:val="20"/>
          <w:u w:val="single"/>
        </w:rPr>
        <w:t xml:space="preserve">Opis nieruchomości: </w:t>
      </w:r>
    </w:p>
    <w:p w14:paraId="72B75C7B" w14:textId="098859CD" w:rsidR="007D7AD2" w:rsidRPr="00B4348B" w:rsidRDefault="007D7AD2" w:rsidP="007D7AD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Nieruchomość oznaczona numerem ewidencyjnym działki 696/25, obręb Drezdenko zabudowana jest jednokondygnacyjnym budynkiem garażowym w zabudowie plombowej. Nieruchomość położona jest za budynkiem nr 32 przy ul. Marszałkowskiej. W sąsiedztwie znajduje się zabudowa mieszkaniowa wielorodzinna oraz handlowo-usługowa. </w:t>
      </w:r>
      <w:r w:rsidR="004A4FAB" w:rsidRPr="000B1700">
        <w:rPr>
          <w:rFonts w:ascii="Tahoma" w:hAnsi="Tahoma" w:cs="Tahoma"/>
          <w:b/>
          <w:bCs/>
          <w:sz w:val="20"/>
          <w:szCs w:val="20"/>
          <w:u w:val="single"/>
        </w:rPr>
        <w:t>Budynek wymaga remontu.</w:t>
      </w:r>
    </w:p>
    <w:p w14:paraId="1A6B108D" w14:textId="799050F4" w:rsidR="00A64996" w:rsidRPr="004A4FAB" w:rsidRDefault="00A64996" w:rsidP="00A6499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E17C620" w14:textId="77777777" w:rsidR="00A83B0B" w:rsidRDefault="00A83B0B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DC2D4D8" w14:textId="19F609CA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BDE5AA9" w14:textId="2DDD0F70" w:rsidR="00722398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Cena nieruchomości osiągnięta w przetargu płatna jest jednorazowo przed zawarciem umowy w formie aktu notarialnego.</w:t>
      </w:r>
    </w:p>
    <w:p w14:paraId="7917FF96" w14:textId="211AA8B7" w:rsidR="00A95681" w:rsidRPr="0057335B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7335B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</w:t>
      </w:r>
      <w:r w:rsidR="00BF44A3">
        <w:rPr>
          <w:rFonts w:ascii="Tahoma" w:hAnsi="Tahoma" w:cs="Tahoma"/>
          <w:sz w:val="20"/>
          <w:szCs w:val="20"/>
        </w:rPr>
        <w:t xml:space="preserve"> </w:t>
      </w:r>
      <w:r w:rsidRPr="0057335B">
        <w:rPr>
          <w:rFonts w:ascii="Tahoma" w:hAnsi="Tahoma" w:cs="Tahoma"/>
          <w:sz w:val="20"/>
          <w:szCs w:val="20"/>
        </w:rPr>
        <w:t xml:space="preserve">1 pkt 1 i pkt 2 ustawy o gospodarce nieruchomościami upłynął </w:t>
      </w:r>
      <w:r w:rsidR="00591EA7">
        <w:rPr>
          <w:rFonts w:ascii="Tahoma" w:hAnsi="Tahoma" w:cs="Tahoma"/>
          <w:sz w:val="20"/>
          <w:szCs w:val="20"/>
        </w:rPr>
        <w:t>–</w:t>
      </w:r>
      <w:r w:rsidR="00841ABB">
        <w:rPr>
          <w:rFonts w:ascii="Tahoma" w:hAnsi="Tahoma" w:cs="Tahoma"/>
          <w:sz w:val="20"/>
          <w:szCs w:val="20"/>
        </w:rPr>
        <w:t xml:space="preserve"> </w:t>
      </w:r>
      <w:r w:rsidR="00591EA7">
        <w:rPr>
          <w:rFonts w:ascii="Tahoma" w:hAnsi="Tahoma" w:cs="Tahoma"/>
          <w:sz w:val="20"/>
          <w:szCs w:val="20"/>
        </w:rPr>
        <w:t>26 września</w:t>
      </w:r>
      <w:r w:rsidR="00841ABB">
        <w:rPr>
          <w:rFonts w:ascii="Tahoma" w:hAnsi="Tahoma" w:cs="Tahoma"/>
          <w:sz w:val="20"/>
          <w:szCs w:val="20"/>
        </w:rPr>
        <w:t xml:space="preserve"> </w:t>
      </w:r>
      <w:r w:rsidR="006C0174">
        <w:rPr>
          <w:rFonts w:ascii="Tahoma" w:hAnsi="Tahoma" w:cs="Tahoma"/>
          <w:sz w:val="20"/>
          <w:szCs w:val="20"/>
        </w:rPr>
        <w:t>2025</w:t>
      </w:r>
      <w:r w:rsidRPr="0057335B">
        <w:rPr>
          <w:rFonts w:ascii="Tahoma" w:hAnsi="Tahoma" w:cs="Tahoma"/>
          <w:sz w:val="20"/>
          <w:szCs w:val="20"/>
        </w:rPr>
        <w:t xml:space="preserve"> r.</w:t>
      </w:r>
    </w:p>
    <w:p w14:paraId="6F8F4B6C" w14:textId="5BC42320" w:rsidR="00AC3625" w:rsidRDefault="00AC3625" w:rsidP="00AC3625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5921B3">
        <w:rPr>
          <w:rFonts w:ascii="Tahoma" w:hAnsi="Tahoma" w:cs="Tahoma"/>
          <w:color w:val="000000"/>
          <w:sz w:val="20"/>
          <w:szCs w:val="20"/>
        </w:rPr>
        <w:t>Nieruchomoś</w:t>
      </w:r>
      <w:r w:rsidR="00C37595">
        <w:rPr>
          <w:rFonts w:ascii="Tahoma" w:hAnsi="Tahoma" w:cs="Tahoma"/>
          <w:color w:val="000000"/>
          <w:sz w:val="20"/>
          <w:szCs w:val="20"/>
        </w:rPr>
        <w:t>ć jest</w:t>
      </w:r>
      <w:r w:rsidRPr="005921B3">
        <w:rPr>
          <w:rFonts w:ascii="Tahoma" w:hAnsi="Tahoma" w:cs="Tahoma"/>
          <w:color w:val="000000"/>
          <w:sz w:val="20"/>
          <w:szCs w:val="20"/>
        </w:rPr>
        <w:t xml:space="preserve"> woln</w:t>
      </w:r>
      <w:r w:rsidR="00C37595">
        <w:rPr>
          <w:rFonts w:ascii="Tahoma" w:hAnsi="Tahoma" w:cs="Tahoma"/>
          <w:color w:val="000000"/>
          <w:sz w:val="20"/>
          <w:szCs w:val="20"/>
        </w:rPr>
        <w:t>a</w:t>
      </w:r>
      <w:r w:rsidRPr="005921B3">
        <w:rPr>
          <w:rFonts w:ascii="Tahoma" w:hAnsi="Tahoma" w:cs="Tahoma"/>
          <w:color w:val="000000"/>
          <w:sz w:val="20"/>
          <w:szCs w:val="20"/>
        </w:rPr>
        <w:t xml:space="preserve"> od jakichkolwiek </w:t>
      </w:r>
      <w:r w:rsidR="00A13AB5">
        <w:rPr>
          <w:rFonts w:ascii="Tahoma" w:hAnsi="Tahoma" w:cs="Tahoma"/>
          <w:color w:val="000000"/>
          <w:sz w:val="20"/>
          <w:szCs w:val="20"/>
        </w:rPr>
        <w:t xml:space="preserve">obciążeń i </w:t>
      </w:r>
      <w:r w:rsidRPr="005921B3">
        <w:rPr>
          <w:rFonts w:ascii="Tahoma" w:hAnsi="Tahoma" w:cs="Tahoma"/>
          <w:color w:val="000000"/>
          <w:sz w:val="20"/>
          <w:szCs w:val="20"/>
        </w:rPr>
        <w:t>zobowiązań.</w:t>
      </w:r>
    </w:p>
    <w:p w14:paraId="28B528A3" w14:textId="0B45C015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D332A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 nieruchomości.</w:t>
      </w:r>
    </w:p>
    <w:p w14:paraId="48E4B487" w14:textId="0DE69057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lastRenderedPageBreak/>
        <w:t xml:space="preserve">Burmistrz Drezdenka stosownie do art. 41 ust. 1 ustawy z dnia 21 sierpnia 1997 r. o gospodarce nieruchomościami (tekst jednolity </w:t>
      </w:r>
      <w:r w:rsidR="006A052F">
        <w:rPr>
          <w:rFonts w:ascii="Tahoma" w:hAnsi="Tahoma" w:cs="Tahoma"/>
          <w:sz w:val="20"/>
          <w:szCs w:val="20"/>
        </w:rPr>
        <w:br/>
      </w:r>
      <w:r w:rsidRPr="00A95681">
        <w:rPr>
          <w:rFonts w:ascii="Tahoma" w:hAnsi="Tahoma" w:cs="Tahoma"/>
          <w:sz w:val="20"/>
          <w:szCs w:val="20"/>
        </w:rPr>
        <w:t>Dz. U. z 202</w:t>
      </w:r>
      <w:r w:rsidR="00D77950">
        <w:rPr>
          <w:rFonts w:ascii="Tahoma" w:hAnsi="Tahoma" w:cs="Tahoma"/>
          <w:sz w:val="20"/>
          <w:szCs w:val="20"/>
        </w:rPr>
        <w:t>4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D77950">
        <w:rPr>
          <w:rFonts w:ascii="Tahoma" w:hAnsi="Tahoma" w:cs="Tahoma"/>
          <w:sz w:val="20"/>
          <w:szCs w:val="20"/>
        </w:rPr>
        <w:t>1145 ze zm.</w:t>
      </w:r>
      <w:r w:rsidRPr="00A95681">
        <w:rPr>
          <w:rFonts w:ascii="Tahoma" w:hAnsi="Tahoma" w:cs="Tahoma"/>
          <w:sz w:val="20"/>
          <w:szCs w:val="20"/>
        </w:rPr>
        <w:t xml:space="preserve">) </w:t>
      </w:r>
      <w:r w:rsidR="00564DDC">
        <w:rPr>
          <w:rFonts w:ascii="Tahoma" w:hAnsi="Tahoma" w:cs="Tahoma"/>
          <w:sz w:val="20"/>
          <w:szCs w:val="20"/>
        </w:rPr>
        <w:t>z</w:t>
      </w:r>
      <w:r w:rsidRPr="00A95681">
        <w:rPr>
          <w:rFonts w:ascii="Tahoma" w:hAnsi="Tahoma" w:cs="Tahoma"/>
          <w:sz w:val="20"/>
          <w:szCs w:val="20"/>
        </w:rPr>
        <w:t>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przetargu zawiadomić osobę ustaloną jako nabywca nieruchomości o miejscu i terminie zawarcia umowy w formie aktu notarialnego.</w:t>
      </w:r>
    </w:p>
    <w:p w14:paraId="08EE8B8B" w14:textId="77777777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F36B170" w14:textId="77777777" w:rsidR="001C287A" w:rsidRPr="00697C29" w:rsidRDefault="00A95681" w:rsidP="001C287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0D596817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9FAE9F0" w14:textId="613C219C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t>Przed przystąpieniem do przetargu należy zapoznać się z 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36ABA968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Gospodarki </w:t>
      </w:r>
      <w:r w:rsidR="00841ABB">
        <w:rPr>
          <w:rFonts w:ascii="Tahoma" w:hAnsi="Tahoma" w:cs="Tahoma"/>
          <w:color w:val="000000"/>
          <w:sz w:val="20"/>
          <w:szCs w:val="20"/>
        </w:rPr>
        <w:t>Nieruchomościami,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 pok. nr 12, tel. 95 762 29 68. Ogłoszenia 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58F0FE37" w14:textId="77777777" w:rsidR="00A95681" w:rsidRPr="00A95681" w:rsidRDefault="00A95681" w:rsidP="00A9568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6CD5F97D" w14:textId="77777777" w:rsidR="008063CD" w:rsidRDefault="008063CD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852F80F" w14:textId="77777777" w:rsid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18147089" w14:textId="75EB23B0" w:rsidR="00767E51" w:rsidRDefault="00767E5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Wywieszono na tablicę ogłoszeń: </w:t>
      </w:r>
      <w:r w:rsidR="0041358D">
        <w:rPr>
          <w:rFonts w:ascii="Tahoma" w:hAnsi="Tahoma" w:cs="Tahoma"/>
          <w:bCs/>
          <w:iCs/>
          <w:color w:val="000000"/>
          <w:sz w:val="20"/>
          <w:szCs w:val="20"/>
        </w:rPr>
        <w:t>26 stycznia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4A4FAB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8E106C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</w:t>
      </w:r>
    </w:p>
    <w:p w14:paraId="44B3A23F" w14:textId="728EBC91" w:rsidR="00767E51" w:rsidRDefault="008E106C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</w:p>
    <w:p w14:paraId="2C4E253B" w14:textId="542114CC" w:rsidR="00767E51" w:rsidRDefault="00767E5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>Zdjęto z tablicy ogłoszeń: …………………. 202</w:t>
      </w:r>
      <w:r w:rsidR="004A4FAB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</w:p>
    <w:p w14:paraId="2B4771A7" w14:textId="57EFD8FF" w:rsidR="00AA4983" w:rsidRDefault="0041358D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Burmistrz</w:t>
      </w:r>
    </w:p>
    <w:p w14:paraId="19C193CC" w14:textId="62F2FA26" w:rsidR="0041358D" w:rsidRDefault="0041358D" w:rsidP="0041358D">
      <w:pPr>
        <w:ind w:left="9204" w:firstLine="708"/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>/-/ Adam Kołwzan</w:t>
      </w:r>
    </w:p>
    <w:p w14:paraId="312C3205" w14:textId="57AA441F" w:rsidR="00AA4983" w:rsidRPr="00767E51" w:rsidRDefault="00AA4983" w:rsidP="00AA4983">
      <w:pPr>
        <w:jc w:val="center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AA4983">
        <w:rPr>
          <w:rFonts w:ascii="Tahoma" w:hAnsi="Tahoma" w:cs="Tahoma"/>
          <w:bCs/>
          <w:iCs/>
          <w:noProof/>
          <w:color w:val="000000"/>
          <w:sz w:val="20"/>
          <w:szCs w:val="20"/>
        </w:rPr>
        <w:lastRenderedPageBreak/>
        <w:drawing>
          <wp:inline distT="0" distB="0" distL="0" distR="0" wp14:anchorId="3A042E28" wp14:editId="48E99B97">
            <wp:extent cx="8371840" cy="5170170"/>
            <wp:effectExtent l="0" t="0" r="0" b="0"/>
            <wp:docPr id="965685733" name="Obraz 1" descr="Obraz zawierający tekst, Plan, diagram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85733" name="Obraz 1" descr="Obraz zawierający tekst, Plan, diagram, wykres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1840" cy="5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4AE0" w14:textId="77777777" w:rsid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0BB72634" w14:textId="77777777" w:rsidR="00284B6A" w:rsidRPr="00A95681" w:rsidRDefault="00284B6A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71581E09" w14:textId="77777777" w:rsidR="00A13AB5" w:rsidRDefault="00A13AB5" w:rsidP="00216C0E">
      <w:pPr>
        <w:ind w:left="9204"/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7B4BDFE1" w14:textId="77777777" w:rsidR="00A13AB5" w:rsidRDefault="00A13AB5" w:rsidP="00216C0E">
      <w:pPr>
        <w:ind w:left="9204"/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1F01106F" w14:textId="77777777" w:rsidR="00A13AB5" w:rsidRDefault="00A13AB5" w:rsidP="00216C0E">
      <w:pPr>
        <w:ind w:left="9204"/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61B208A6" w14:textId="77777777" w:rsidR="00A13AB5" w:rsidRDefault="00A13AB5" w:rsidP="00216C0E">
      <w:pPr>
        <w:ind w:left="9204"/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49E06692" w14:textId="77777777" w:rsidR="00AA4983" w:rsidRDefault="00AA4983" w:rsidP="00AA4983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6725178B" w14:textId="77777777" w:rsidR="00AA4983" w:rsidRDefault="00AA4983" w:rsidP="00AA4983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4EDF7E63" w14:textId="40CBD7DD" w:rsidR="00767E51" w:rsidRPr="00AA4983" w:rsidRDefault="00767E51" w:rsidP="00AA4983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13AB5">
        <w:rPr>
          <w:rFonts w:ascii="Tahoma" w:eastAsia="Calibri" w:hAnsi="Tahoma" w:cs="Tahoma"/>
          <w:b/>
          <w:bCs/>
          <w:sz w:val="16"/>
          <w:szCs w:val="16"/>
          <w:lang w:eastAsia="en-US"/>
        </w:rPr>
        <w:t>KLAUZULA INFORMACYJNA</w:t>
      </w:r>
    </w:p>
    <w:p w14:paraId="6F007354" w14:textId="67A145D5" w:rsidR="00767E51" w:rsidRPr="00A13AB5" w:rsidRDefault="00767E51" w:rsidP="00767E51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  <w:r w:rsidRPr="00A13AB5">
        <w:rPr>
          <w:rFonts w:ascii="Tahoma" w:eastAsia="Calibri" w:hAnsi="Tahoma" w:cs="Tahoma"/>
          <w:sz w:val="16"/>
          <w:szCs w:val="16"/>
          <w:lang w:eastAsia="en-US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 Dz. U. UE. L. 119.1 z 04.05.2016 informujemy: </w:t>
      </w:r>
    </w:p>
    <w:p w14:paraId="7F5555C6" w14:textId="0E11CFDD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 xml:space="preserve">Administratorem danych osobowych jest Burmistrz Drezdenka z siedzibą w Drezdenku (66-530) przy ulicy Warszawskiej 1.  Z administratorem można skontaktować się mailowo: </w:t>
      </w:r>
      <w:hyperlink r:id="rId7" w:history="1">
        <w:r w:rsidRPr="00A13AB5">
          <w:rPr>
            <w:rStyle w:val="Hipercze"/>
            <w:rFonts w:ascii="Tahoma" w:hAnsi="Tahoma" w:cs="Tahoma"/>
            <w:sz w:val="16"/>
            <w:szCs w:val="16"/>
          </w:rPr>
          <w:t>um@drezdenko.pl</w:t>
        </w:r>
      </w:hyperlink>
      <w:r w:rsidRPr="00A13AB5">
        <w:rPr>
          <w:rFonts w:ascii="Tahoma" w:hAnsi="Tahoma" w:cs="Tahoma"/>
          <w:sz w:val="16"/>
          <w:szCs w:val="16"/>
        </w:rPr>
        <w:t xml:space="preserve">  lub pisemnie na adres siedziby administratora,</w:t>
      </w:r>
    </w:p>
    <w:p w14:paraId="07C87B4E" w14:textId="3100FDB5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 xml:space="preserve">Administrator wyznaczył inspektora ochrony danych, z którym może się Pani/ Pan skontaktować poprzez email  </w:t>
      </w:r>
      <w:hyperlink r:id="rId8" w:history="1">
        <w:r w:rsidRPr="00A13AB5">
          <w:rPr>
            <w:rStyle w:val="Hipercze"/>
            <w:rFonts w:ascii="Tahoma" w:hAnsi="Tahoma" w:cs="Tahoma"/>
            <w:sz w:val="16"/>
            <w:szCs w:val="16"/>
          </w:rPr>
          <w:t>iod@drezdenko.pl</w:t>
        </w:r>
      </w:hyperlink>
      <w:r w:rsidRPr="00A13AB5">
        <w:rPr>
          <w:rFonts w:ascii="Tahoma" w:hAnsi="Tahoma" w:cs="Tahoma"/>
          <w:sz w:val="16"/>
          <w:szCs w:val="16"/>
        </w:rPr>
        <w:t xml:space="preserve">. Z inspektorem ochrony danych można się kontaktować we wszystkich sprawach dotyczących przetwarzania danych osobowych oraz korzystania z praw związanych z przetwarzaniem danych. </w:t>
      </w:r>
    </w:p>
    <w:p w14:paraId="312F01E1" w14:textId="1EA1389E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>Pana/Pani dane osobowe będą przetwarzane w celu udziału w przetargu ustnym nieograniczonym na sprzedaż nieruchomości zabudowanej, na podstawie ustawy z dnia 21 sierpnia 1997 r. o gospodarce nieruchomościami (Dz.U. 202</w:t>
      </w:r>
      <w:r w:rsidR="00591EA7">
        <w:rPr>
          <w:rFonts w:ascii="Tahoma" w:hAnsi="Tahoma" w:cs="Tahoma"/>
          <w:sz w:val="16"/>
          <w:szCs w:val="16"/>
        </w:rPr>
        <w:t>4,</w:t>
      </w:r>
      <w:r w:rsidRPr="00A13AB5">
        <w:rPr>
          <w:rFonts w:ascii="Tahoma" w:hAnsi="Tahoma" w:cs="Tahoma"/>
          <w:sz w:val="16"/>
          <w:szCs w:val="16"/>
        </w:rPr>
        <w:t xml:space="preserve"> poz. </w:t>
      </w:r>
      <w:r w:rsidR="00591EA7">
        <w:rPr>
          <w:rFonts w:ascii="Tahoma" w:hAnsi="Tahoma" w:cs="Tahoma"/>
          <w:sz w:val="16"/>
          <w:szCs w:val="16"/>
        </w:rPr>
        <w:t>11</w:t>
      </w:r>
      <w:r w:rsidRPr="00A13AB5">
        <w:rPr>
          <w:rFonts w:ascii="Tahoma" w:hAnsi="Tahoma" w:cs="Tahoma"/>
          <w:sz w:val="16"/>
          <w:szCs w:val="16"/>
        </w:rPr>
        <w:t>4</w:t>
      </w:r>
      <w:r w:rsidR="00591EA7">
        <w:rPr>
          <w:rFonts w:ascii="Tahoma" w:hAnsi="Tahoma" w:cs="Tahoma"/>
          <w:sz w:val="16"/>
          <w:szCs w:val="16"/>
        </w:rPr>
        <w:t>5</w:t>
      </w:r>
      <w:r w:rsidR="00895890" w:rsidRPr="00A13AB5">
        <w:rPr>
          <w:rFonts w:ascii="Tahoma" w:hAnsi="Tahoma" w:cs="Tahoma"/>
          <w:sz w:val="16"/>
          <w:szCs w:val="16"/>
        </w:rPr>
        <w:t xml:space="preserve"> ze zm.</w:t>
      </w:r>
      <w:r w:rsidRPr="00A13AB5">
        <w:rPr>
          <w:rFonts w:ascii="Tahoma" w:hAnsi="Tahoma" w:cs="Tahoma"/>
          <w:sz w:val="16"/>
          <w:szCs w:val="16"/>
        </w:rPr>
        <w:t>)</w:t>
      </w:r>
    </w:p>
    <w:p w14:paraId="7367E476" w14:textId="6CCE458D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>W związku z przetwarzaniem Pani/Pana danych w celach wskazanych powyżej, informacje o wyniku przetargu zawierające dane osobowe zwycięzcy przetargu zostaną podane</w:t>
      </w:r>
      <w:r w:rsidR="005E6A54">
        <w:rPr>
          <w:rFonts w:ascii="Tahoma" w:hAnsi="Tahoma" w:cs="Tahoma"/>
          <w:sz w:val="16"/>
          <w:szCs w:val="16"/>
        </w:rPr>
        <w:t xml:space="preserve"> </w:t>
      </w:r>
      <w:r w:rsidRPr="00A13AB5">
        <w:rPr>
          <w:rFonts w:ascii="Tahoma" w:hAnsi="Tahoma" w:cs="Tahoma"/>
          <w:sz w:val="16"/>
          <w:szCs w:val="16"/>
        </w:rPr>
        <w:t xml:space="preserve">do publicznej informacji na tablicy ogłoszeń w urzędzie. </w:t>
      </w:r>
    </w:p>
    <w:p w14:paraId="73B466E5" w14:textId="77777777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>Pana/Pani dane osobowe będą przetwarzane przez okres niezbędny do realizacji celów oraz przechowywane przez okres niezbędny do wypełniania obowiązku archiwizacyjnego wynikającego z przepisów prawa.</w:t>
      </w:r>
    </w:p>
    <w:p w14:paraId="6ADC4BE9" w14:textId="77777777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>Posiada Pani/Pan prawo do żądania od administratora dostępu do treści swoich danych osobowych, prawo do ich sprostowania, ograniczenia przetwarzania, prawo do wniesienia sprzeciwu wobec przetwarzania swoich danych.</w:t>
      </w:r>
    </w:p>
    <w:p w14:paraId="0808D59E" w14:textId="7450E339" w:rsidR="00767E51" w:rsidRPr="005E6A54" w:rsidRDefault="00767E51" w:rsidP="005E6A54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hAnsi="Tahoma" w:cs="Tahoma"/>
          <w:sz w:val="16"/>
          <w:szCs w:val="16"/>
        </w:rPr>
        <w:t>Ma Pani/Pan prawo wniesienia skargi do organu nadzorczego zajmującego się ochroną danych osobowych:</w:t>
      </w:r>
      <w:r w:rsidR="005E6A54">
        <w:rPr>
          <w:rFonts w:ascii="Tahoma" w:hAnsi="Tahoma" w:cs="Tahoma"/>
          <w:sz w:val="16"/>
          <w:szCs w:val="16"/>
        </w:rPr>
        <w:t xml:space="preserve"> </w:t>
      </w:r>
      <w:r w:rsidRPr="005E6A54">
        <w:rPr>
          <w:rFonts w:ascii="Tahoma" w:hAnsi="Tahoma" w:cs="Tahoma"/>
          <w:sz w:val="16"/>
          <w:szCs w:val="16"/>
        </w:rPr>
        <w:t>Biuro Prezesa Urzędu Ochrony Danych Osobowych (PUODO)</w:t>
      </w:r>
      <w:r w:rsidR="005E6A54">
        <w:rPr>
          <w:rFonts w:ascii="Tahoma" w:hAnsi="Tahoma" w:cs="Tahoma"/>
          <w:sz w:val="16"/>
          <w:szCs w:val="16"/>
        </w:rPr>
        <w:t xml:space="preserve">, </w:t>
      </w:r>
      <w:r w:rsidRPr="005E6A54">
        <w:rPr>
          <w:rFonts w:ascii="Tahoma" w:hAnsi="Tahoma" w:cs="Tahoma"/>
          <w:sz w:val="16"/>
          <w:szCs w:val="16"/>
        </w:rPr>
        <w:t>Adres: Stawki 2, 00-193 Warszawa</w:t>
      </w:r>
    </w:p>
    <w:p w14:paraId="55F7D14F" w14:textId="5E2A09ED" w:rsidR="00767E51" w:rsidRPr="00A13AB5" w:rsidRDefault="00767E51" w:rsidP="00767E51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13AB5">
        <w:rPr>
          <w:rFonts w:ascii="Tahoma" w:eastAsia="Calibri" w:hAnsi="Tahoma" w:cs="Tahoma"/>
          <w:sz w:val="16"/>
          <w:szCs w:val="16"/>
          <w:lang w:eastAsia="en-US"/>
        </w:rPr>
        <w:t xml:space="preserve">Podanie Pana/Pani danych osobowych jest obligatoryjne w przypadku chęci wzięcia udziału w przetargu, zgodnie z minimalnymi wymaganiami określonymi dla oferty </w:t>
      </w:r>
      <w:r w:rsidR="005E6A54">
        <w:rPr>
          <w:rFonts w:ascii="Tahoma" w:eastAsia="Calibri" w:hAnsi="Tahoma" w:cs="Tahoma"/>
          <w:sz w:val="16"/>
          <w:szCs w:val="16"/>
          <w:lang w:eastAsia="en-US"/>
        </w:rPr>
        <w:br/>
      </w:r>
      <w:r w:rsidRPr="00A13AB5">
        <w:rPr>
          <w:rFonts w:ascii="Tahoma" w:eastAsia="Calibri" w:hAnsi="Tahoma" w:cs="Tahoma"/>
          <w:sz w:val="16"/>
          <w:szCs w:val="16"/>
          <w:lang w:eastAsia="en-US"/>
        </w:rPr>
        <w:t>w rozporządzeniu Rady Ministrów z dnia 14 września 2004 r. w sprawie sposobu i trybu przeprowadzania przetargów oraz rokowań na zbycie nieruchomości.</w:t>
      </w:r>
    </w:p>
    <w:p w14:paraId="1F25A568" w14:textId="77777777" w:rsidR="00767E51" w:rsidRPr="00A13AB5" w:rsidRDefault="00767E51" w:rsidP="00767E51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14:paraId="02475B3B" w14:textId="77777777" w:rsidR="00767E51" w:rsidRPr="008A17E8" w:rsidRDefault="00767E51" w:rsidP="00767E51">
      <w:pPr>
        <w:jc w:val="both"/>
        <w:rPr>
          <w:rFonts w:ascii="Tahoma" w:hAnsi="Tahoma" w:cs="Tahoma"/>
          <w:color w:val="003333"/>
          <w:sz w:val="20"/>
          <w:szCs w:val="20"/>
        </w:rPr>
      </w:pPr>
    </w:p>
    <w:p w14:paraId="6423DCEE" w14:textId="77777777" w:rsidR="00767E51" w:rsidRPr="00AA4983" w:rsidRDefault="00767E51" w:rsidP="00C91A29">
      <w:pPr>
        <w:jc w:val="both"/>
        <w:rPr>
          <w:rFonts w:ascii="Tahoma" w:hAnsi="Tahoma" w:cs="Tahoma"/>
          <w:vanish/>
          <w:color w:val="003333"/>
          <w:sz w:val="20"/>
          <w:szCs w:val="20"/>
          <w:specVanish/>
        </w:rPr>
      </w:pPr>
    </w:p>
    <w:p w14:paraId="1531AF43" w14:textId="3226D434" w:rsidR="00841ABB" w:rsidRPr="00AA4983" w:rsidRDefault="00AA4983" w:rsidP="00C91A29">
      <w:pPr>
        <w:jc w:val="both"/>
        <w:rPr>
          <w:rFonts w:ascii="Tahoma" w:hAnsi="Tahoma" w:cs="Tahoma"/>
          <w:vanish/>
          <w:color w:val="003333"/>
          <w:sz w:val="20"/>
          <w:szCs w:val="20"/>
          <w:specVanish/>
        </w:rPr>
      </w:pPr>
      <w:r>
        <w:rPr>
          <w:rFonts w:ascii="Tahoma" w:hAnsi="Tahoma" w:cs="Tahoma"/>
          <w:color w:val="003333"/>
          <w:sz w:val="20"/>
          <w:szCs w:val="20"/>
        </w:rPr>
        <w:t xml:space="preserve"> </w:t>
      </w:r>
    </w:p>
    <w:p w14:paraId="387B1387" w14:textId="16A79134" w:rsidR="00841ABB" w:rsidRDefault="00AA4983" w:rsidP="00C91A29">
      <w:pPr>
        <w:jc w:val="both"/>
        <w:rPr>
          <w:rFonts w:ascii="Tahoma" w:hAnsi="Tahoma" w:cs="Tahoma"/>
          <w:color w:val="003333"/>
          <w:sz w:val="20"/>
          <w:szCs w:val="20"/>
        </w:rPr>
      </w:pPr>
      <w:r>
        <w:rPr>
          <w:rFonts w:ascii="Tahoma" w:hAnsi="Tahoma" w:cs="Tahoma"/>
          <w:color w:val="003333"/>
          <w:sz w:val="20"/>
          <w:szCs w:val="20"/>
        </w:rPr>
        <w:t xml:space="preserve"> </w:t>
      </w:r>
    </w:p>
    <w:p w14:paraId="357A4837" w14:textId="7A7A45C4" w:rsidR="00AA4983" w:rsidRDefault="00AA4983" w:rsidP="00090168">
      <w:pPr>
        <w:rPr>
          <w:rFonts w:ascii="Tahoma" w:hAnsi="Tahoma" w:cs="Tahoma"/>
          <w:color w:val="003333"/>
          <w:sz w:val="20"/>
          <w:szCs w:val="20"/>
        </w:rPr>
        <w:sectPr w:rsidR="00AA4983" w:rsidSect="00841ABB">
          <w:pgSz w:w="16838" w:h="11906" w:orient="landscape"/>
          <w:pgMar w:top="1135" w:right="2237" w:bottom="709" w:left="1417" w:header="708" w:footer="708" w:gutter="0"/>
          <w:cols w:space="708"/>
          <w:docGrid w:linePitch="360"/>
        </w:sectPr>
      </w:pPr>
    </w:p>
    <w:p w14:paraId="36118948" w14:textId="6BACCFC5" w:rsidR="00AA4983" w:rsidRPr="00AA4983" w:rsidRDefault="00AA4983" w:rsidP="00AA4983">
      <w:pPr>
        <w:suppressAutoHyphens/>
        <w:overflowPunct w:val="0"/>
        <w:autoSpaceDE w:val="0"/>
        <w:spacing w:line="360" w:lineRule="auto"/>
        <w:jc w:val="both"/>
        <w:textAlignment w:val="baseline"/>
        <w:rPr>
          <w:sz w:val="12"/>
          <w:szCs w:val="12"/>
        </w:rPr>
      </w:pPr>
    </w:p>
    <w:sectPr w:rsidR="00AA4983" w:rsidRPr="00AA4983" w:rsidSect="00AA4983">
      <w:pgSz w:w="11906" w:h="16838"/>
      <w:pgMar w:top="2237" w:right="709" w:bottom="141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C7B"/>
    <w:multiLevelType w:val="hybridMultilevel"/>
    <w:tmpl w:val="D2D6F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9B5"/>
    <w:multiLevelType w:val="hybridMultilevel"/>
    <w:tmpl w:val="6B16BB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36D4F"/>
    <w:multiLevelType w:val="hybridMultilevel"/>
    <w:tmpl w:val="7C1A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5BF3"/>
    <w:multiLevelType w:val="hybridMultilevel"/>
    <w:tmpl w:val="904663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C96E27"/>
    <w:multiLevelType w:val="hybridMultilevel"/>
    <w:tmpl w:val="3F786C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CD2962"/>
    <w:multiLevelType w:val="hybridMultilevel"/>
    <w:tmpl w:val="A544BB50"/>
    <w:lvl w:ilvl="0" w:tplc="F59A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04523">
    <w:abstractNumId w:val="2"/>
  </w:num>
  <w:num w:numId="2" w16cid:durableId="553078427">
    <w:abstractNumId w:val="5"/>
  </w:num>
  <w:num w:numId="3" w16cid:durableId="413405763">
    <w:abstractNumId w:val="3"/>
  </w:num>
  <w:num w:numId="4" w16cid:durableId="1208639184">
    <w:abstractNumId w:val="0"/>
  </w:num>
  <w:num w:numId="5" w16cid:durableId="241915611">
    <w:abstractNumId w:val="7"/>
  </w:num>
  <w:num w:numId="6" w16cid:durableId="1837963075">
    <w:abstractNumId w:val="4"/>
  </w:num>
  <w:num w:numId="7" w16cid:durableId="222523298">
    <w:abstractNumId w:val="6"/>
  </w:num>
  <w:num w:numId="8" w16cid:durableId="613291685">
    <w:abstractNumId w:val="8"/>
  </w:num>
  <w:num w:numId="9" w16cid:durableId="57870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256BB"/>
    <w:rsid w:val="0003136A"/>
    <w:rsid w:val="00037542"/>
    <w:rsid w:val="00065C04"/>
    <w:rsid w:val="00072E4E"/>
    <w:rsid w:val="000754EF"/>
    <w:rsid w:val="00090168"/>
    <w:rsid w:val="000B1700"/>
    <w:rsid w:val="000C6710"/>
    <w:rsid w:val="000E20FA"/>
    <w:rsid w:val="000E4972"/>
    <w:rsid w:val="00105B6D"/>
    <w:rsid w:val="00111989"/>
    <w:rsid w:val="001145D5"/>
    <w:rsid w:val="0012580E"/>
    <w:rsid w:val="001438DB"/>
    <w:rsid w:val="00164F64"/>
    <w:rsid w:val="001936C7"/>
    <w:rsid w:val="001C287A"/>
    <w:rsid w:val="001C4E64"/>
    <w:rsid w:val="001D75FC"/>
    <w:rsid w:val="001E07ED"/>
    <w:rsid w:val="00202A34"/>
    <w:rsid w:val="00207E69"/>
    <w:rsid w:val="00216C0E"/>
    <w:rsid w:val="00235AE7"/>
    <w:rsid w:val="00274236"/>
    <w:rsid w:val="00277B45"/>
    <w:rsid w:val="00284B6A"/>
    <w:rsid w:val="002A1654"/>
    <w:rsid w:val="002C3945"/>
    <w:rsid w:val="00307FD7"/>
    <w:rsid w:val="0035189C"/>
    <w:rsid w:val="003F269F"/>
    <w:rsid w:val="0041358D"/>
    <w:rsid w:val="004A4DC7"/>
    <w:rsid w:val="004A4FAB"/>
    <w:rsid w:val="004B5715"/>
    <w:rsid w:val="004D33A2"/>
    <w:rsid w:val="004F68C2"/>
    <w:rsid w:val="004F792F"/>
    <w:rsid w:val="00504BDD"/>
    <w:rsid w:val="0050694D"/>
    <w:rsid w:val="00510950"/>
    <w:rsid w:val="00517C85"/>
    <w:rsid w:val="0053429D"/>
    <w:rsid w:val="00564DDC"/>
    <w:rsid w:val="0057335B"/>
    <w:rsid w:val="00591EA7"/>
    <w:rsid w:val="005921B3"/>
    <w:rsid w:val="005B6F96"/>
    <w:rsid w:val="005C0B03"/>
    <w:rsid w:val="005E6A54"/>
    <w:rsid w:val="00616905"/>
    <w:rsid w:val="00640D53"/>
    <w:rsid w:val="006436DC"/>
    <w:rsid w:val="00663B4B"/>
    <w:rsid w:val="00694B40"/>
    <w:rsid w:val="00697C29"/>
    <w:rsid w:val="006A052F"/>
    <w:rsid w:val="006C0174"/>
    <w:rsid w:val="006C48FF"/>
    <w:rsid w:val="00700570"/>
    <w:rsid w:val="007155E0"/>
    <w:rsid w:val="00722398"/>
    <w:rsid w:val="007421D2"/>
    <w:rsid w:val="00767E51"/>
    <w:rsid w:val="00772604"/>
    <w:rsid w:val="00794DF0"/>
    <w:rsid w:val="007A482A"/>
    <w:rsid w:val="007D45AA"/>
    <w:rsid w:val="007D4D43"/>
    <w:rsid w:val="007D66BC"/>
    <w:rsid w:val="007D7AD2"/>
    <w:rsid w:val="007F1736"/>
    <w:rsid w:val="007F4E06"/>
    <w:rsid w:val="008063CD"/>
    <w:rsid w:val="0082146E"/>
    <w:rsid w:val="00825536"/>
    <w:rsid w:val="00841ABB"/>
    <w:rsid w:val="00845232"/>
    <w:rsid w:val="00862BEB"/>
    <w:rsid w:val="0089357B"/>
    <w:rsid w:val="00895890"/>
    <w:rsid w:val="008A0DB5"/>
    <w:rsid w:val="008A17E8"/>
    <w:rsid w:val="008E106C"/>
    <w:rsid w:val="00902E1E"/>
    <w:rsid w:val="00915D08"/>
    <w:rsid w:val="00963346"/>
    <w:rsid w:val="009B3E8E"/>
    <w:rsid w:val="009C73B0"/>
    <w:rsid w:val="009E25CB"/>
    <w:rsid w:val="009E3260"/>
    <w:rsid w:val="00A13AB5"/>
    <w:rsid w:val="00A223BD"/>
    <w:rsid w:val="00A25AE6"/>
    <w:rsid w:val="00A45B69"/>
    <w:rsid w:val="00A47290"/>
    <w:rsid w:val="00A64996"/>
    <w:rsid w:val="00A83B0B"/>
    <w:rsid w:val="00A95681"/>
    <w:rsid w:val="00AA4983"/>
    <w:rsid w:val="00AB179C"/>
    <w:rsid w:val="00AC3625"/>
    <w:rsid w:val="00B0542B"/>
    <w:rsid w:val="00B550CE"/>
    <w:rsid w:val="00B67816"/>
    <w:rsid w:val="00BC03E4"/>
    <w:rsid w:val="00BE714A"/>
    <w:rsid w:val="00BF1CE2"/>
    <w:rsid w:val="00BF44A3"/>
    <w:rsid w:val="00C37595"/>
    <w:rsid w:val="00C905B7"/>
    <w:rsid w:val="00C91A29"/>
    <w:rsid w:val="00CE542B"/>
    <w:rsid w:val="00D332AB"/>
    <w:rsid w:val="00D422AB"/>
    <w:rsid w:val="00D47F40"/>
    <w:rsid w:val="00D77950"/>
    <w:rsid w:val="00DA495D"/>
    <w:rsid w:val="00DB567C"/>
    <w:rsid w:val="00DB7931"/>
    <w:rsid w:val="00DB7D52"/>
    <w:rsid w:val="00DE1C18"/>
    <w:rsid w:val="00E10D45"/>
    <w:rsid w:val="00E16F9B"/>
    <w:rsid w:val="00E660D0"/>
    <w:rsid w:val="00EC70FB"/>
    <w:rsid w:val="00ED2644"/>
    <w:rsid w:val="00EF0072"/>
    <w:rsid w:val="00F16C14"/>
    <w:rsid w:val="00F22EBE"/>
    <w:rsid w:val="00F23AB3"/>
    <w:rsid w:val="00F7612F"/>
    <w:rsid w:val="00F76F5B"/>
    <w:rsid w:val="00F774C7"/>
    <w:rsid w:val="00F96C99"/>
    <w:rsid w:val="00F9723E"/>
    <w:rsid w:val="00FA6298"/>
    <w:rsid w:val="00FC7E80"/>
    <w:rsid w:val="00FD36EE"/>
    <w:rsid w:val="00FE018D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docId w15:val="{67F92E22-33C5-4D99-A40E-826596E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  <w:style w:type="paragraph" w:customStyle="1" w:styleId="Tekstpodstawowy21">
    <w:name w:val="Tekst podstawowy 21"/>
    <w:basedOn w:val="Normalny"/>
    <w:rsid w:val="00AA4983"/>
    <w:pPr>
      <w:suppressAutoHyphens/>
      <w:overflowPunct w:val="0"/>
      <w:autoSpaceDE w:val="0"/>
      <w:jc w:val="center"/>
      <w:textAlignment w:val="baseline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zdenk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drezden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AF19-19D0-4EDD-9415-66E54007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6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37</cp:revision>
  <cp:lastPrinted>2026-01-23T11:39:00Z</cp:lastPrinted>
  <dcterms:created xsi:type="dcterms:W3CDTF">2023-07-19T09:24:00Z</dcterms:created>
  <dcterms:modified xsi:type="dcterms:W3CDTF">2026-01-26T08:13:00Z</dcterms:modified>
</cp:coreProperties>
</file>